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6F" w:rsidRDefault="009366E9" w:rsidP="00173B6F">
      <w:pPr>
        <w:rPr>
          <w:rFonts w:ascii="UniversLTStd-LightCn" w:hAnsi="UniversLTStd-LightCn" w:cs="UniversLTStd-LightCn"/>
          <w:sz w:val="16"/>
          <w:szCs w:val="16"/>
        </w:rPr>
      </w:pPr>
      <w:r>
        <w:rPr>
          <w:rFonts w:ascii="NeoTechPro-Medium" w:hAnsi="NeoTechPro-Medium" w:cs="NeoTechPro-Medium"/>
          <w:sz w:val="38"/>
          <w:szCs w:val="38"/>
        </w:rPr>
        <w:t xml:space="preserve"> </w:t>
      </w:r>
    </w:p>
    <w:p w:rsidR="00173B6F" w:rsidRDefault="0048253B" w:rsidP="00173B6F">
      <w:pPr>
        <w:rPr>
          <w:rFonts w:ascii="NeoTechPro-Medium" w:hAnsi="NeoTechPro-Medium" w:cs="NeoTechPro-Medium"/>
          <w:sz w:val="38"/>
          <w:szCs w:val="38"/>
        </w:rPr>
      </w:pPr>
      <w:proofErr w:type="spellStart"/>
      <w:r>
        <w:rPr>
          <w:rFonts w:ascii="NeoTechPro-Medium" w:hAnsi="NeoTechPro-Medium" w:cs="NeoTechPro-Medium"/>
          <w:sz w:val="38"/>
          <w:szCs w:val="38"/>
        </w:rPr>
        <w:t>AchilloStabil</w:t>
      </w:r>
      <w:proofErr w:type="spellEnd"/>
      <w:r>
        <w:rPr>
          <w:rFonts w:ascii="NeoTechPro-Medium" w:hAnsi="NeoTechPro-Medium" w:cs="NeoTechPro-Medium"/>
        </w:rPr>
        <w:t xml:space="preserve">® </w:t>
      </w:r>
      <w:proofErr w:type="spellStart"/>
      <w:r>
        <w:rPr>
          <w:rFonts w:ascii="NeoTechPro-Medium" w:hAnsi="NeoTechPro-Medium" w:cs="NeoTechPro-Medium"/>
          <w:sz w:val="38"/>
          <w:szCs w:val="38"/>
        </w:rPr>
        <w:t>Eco</w:t>
      </w:r>
      <w:proofErr w:type="spellEnd"/>
      <w:r>
        <w:rPr>
          <w:rFonts w:ascii="NeoTechPro-Medium" w:hAnsi="NeoTechPro-Medium" w:cs="NeoTechPro-Medium"/>
          <w:sz w:val="38"/>
          <w:szCs w:val="38"/>
        </w:rPr>
        <w:t xml:space="preserve"> </w:t>
      </w:r>
      <w:r w:rsidR="00173B6F">
        <w:rPr>
          <w:rFonts w:ascii="NeoTechPro-Medium" w:hAnsi="NeoTechPro-Medium" w:cs="NeoTechPro-Medium"/>
          <w:sz w:val="38"/>
          <w:szCs w:val="38"/>
        </w:rPr>
        <w:t xml:space="preserve">Bandáž </w:t>
      </w:r>
      <w:proofErr w:type="spellStart"/>
      <w:r w:rsidR="00173B6F">
        <w:rPr>
          <w:rFonts w:ascii="NeoTechPro-Medium" w:hAnsi="NeoTechPro-Medium" w:cs="NeoTechPro-Medium"/>
          <w:sz w:val="38"/>
          <w:szCs w:val="38"/>
        </w:rPr>
        <w:t>achillovy</w:t>
      </w:r>
      <w:proofErr w:type="spellEnd"/>
      <w:r w:rsidR="00173B6F">
        <w:rPr>
          <w:rFonts w:ascii="NeoTechPro-Medium" w:hAnsi="NeoTechPro-Medium" w:cs="NeoTechPro-Medium"/>
          <w:sz w:val="38"/>
          <w:szCs w:val="38"/>
        </w:rPr>
        <w:t xml:space="preserve"> šlachy </w:t>
      </w:r>
    </w:p>
    <w:p w:rsidR="00173B6F" w:rsidRDefault="00173B6F" w:rsidP="00173B6F">
      <w:pPr>
        <w:rPr>
          <w:rFonts w:ascii="NeoTechPro-Medium" w:hAnsi="NeoTechPro-Medium" w:cs="NeoTechPro-Medium"/>
          <w:sz w:val="38"/>
          <w:szCs w:val="38"/>
        </w:rPr>
      </w:pPr>
      <w:r>
        <w:rPr>
          <w:rFonts w:ascii="NeoTechPro-Medium" w:hAnsi="NeoTechPro-Medium" w:cs="NeoTechPro-Medium"/>
          <w:sz w:val="38"/>
          <w:szCs w:val="38"/>
        </w:rPr>
        <w:t>054 900 BORT</w:t>
      </w:r>
      <w:r w:rsidR="0048253B">
        <w:rPr>
          <w:rFonts w:ascii="NeoTechPro-Medium" w:hAnsi="NeoTechPro-Medium" w:cs="NeoTechPro-Medium"/>
          <w:sz w:val="38"/>
          <w:szCs w:val="38"/>
        </w:rPr>
        <w:t xml:space="preserve"> </w:t>
      </w:r>
      <w:r w:rsidR="009366E9">
        <w:rPr>
          <w:rFonts w:ascii="NeoTechPro-Medium" w:hAnsi="NeoTechPro-Medium" w:cs="NeoTechPro-Medium"/>
          <w:sz w:val="38"/>
          <w:szCs w:val="38"/>
        </w:rPr>
        <w:t xml:space="preserve"> </w:t>
      </w:r>
    </w:p>
    <w:p w:rsidR="00173B6F" w:rsidRPr="00FC56BB" w:rsidRDefault="00173B6F" w:rsidP="00FC56BB">
      <w:pPr>
        <w:pStyle w:val="Bezmezer"/>
        <w:rPr>
          <w:sz w:val="18"/>
          <w:szCs w:val="18"/>
        </w:rPr>
      </w:pPr>
      <w:r w:rsidRPr="00FC56BB">
        <w:rPr>
          <w:rFonts w:asciiTheme="minorHAnsi" w:hAnsiTheme="minorHAnsi"/>
          <w:sz w:val="18"/>
          <w:szCs w:val="18"/>
        </w:rPr>
        <w:t xml:space="preserve">Bort </w:t>
      </w:r>
      <w:proofErr w:type="spellStart"/>
      <w:r w:rsidRPr="00FC56BB">
        <w:rPr>
          <w:rFonts w:asciiTheme="minorHAnsi" w:hAnsiTheme="minorHAnsi"/>
          <w:sz w:val="18"/>
          <w:szCs w:val="18"/>
        </w:rPr>
        <w:t>AchilloStabil</w:t>
      </w:r>
      <w:proofErr w:type="spellEnd"/>
      <w:r w:rsidRPr="00FC56BB">
        <w:rPr>
          <w:rFonts w:asciiTheme="minorHAnsi" w:hAnsiTheme="minorHAnsi"/>
          <w:sz w:val="18"/>
          <w:szCs w:val="18"/>
        </w:rPr>
        <w:t>®</w:t>
      </w:r>
      <w:r w:rsidRPr="00FC56BB">
        <w:rPr>
          <w:sz w:val="18"/>
          <w:szCs w:val="18"/>
        </w:rPr>
        <w:t xml:space="preserve"> bandáž </w:t>
      </w:r>
      <w:proofErr w:type="spellStart"/>
      <w:r w:rsidRPr="00FC56BB">
        <w:rPr>
          <w:sz w:val="18"/>
          <w:szCs w:val="18"/>
        </w:rPr>
        <w:t>achillovy</w:t>
      </w:r>
      <w:proofErr w:type="spellEnd"/>
      <w:r w:rsidRPr="00FC56BB">
        <w:rPr>
          <w:sz w:val="18"/>
          <w:szCs w:val="18"/>
        </w:rPr>
        <w:t xml:space="preserve"> šlachy nabízí odleh</w:t>
      </w:r>
      <w:r w:rsidRPr="00FC56BB">
        <w:rPr>
          <w:rFonts w:asciiTheme="minorHAnsi" w:hAnsiTheme="minorHAnsi"/>
          <w:sz w:val="18"/>
          <w:szCs w:val="18"/>
        </w:rPr>
        <w:t>čení</w:t>
      </w:r>
      <w:r w:rsidRPr="00FC56BB">
        <w:rPr>
          <w:sz w:val="18"/>
          <w:szCs w:val="18"/>
        </w:rPr>
        <w:t xml:space="preserve"> Achillovy šlachy použitím integrovaných pelot</w:t>
      </w:r>
      <w:r w:rsidRPr="00FC56BB">
        <w:rPr>
          <w:rFonts w:asciiTheme="minorHAnsi" w:hAnsiTheme="minorHAnsi"/>
          <w:sz w:val="18"/>
          <w:szCs w:val="18"/>
        </w:rPr>
        <w:t xml:space="preserve"> </w:t>
      </w:r>
      <w:r w:rsidRPr="00FC56BB">
        <w:rPr>
          <w:sz w:val="18"/>
          <w:szCs w:val="18"/>
        </w:rPr>
        <w:t>.</w:t>
      </w:r>
    </w:p>
    <w:p w:rsidR="00173B6F" w:rsidRPr="00FC56BB" w:rsidRDefault="00173B6F" w:rsidP="00FC56BB">
      <w:pPr>
        <w:pStyle w:val="Bezmezer"/>
        <w:rPr>
          <w:sz w:val="18"/>
          <w:szCs w:val="18"/>
        </w:rPr>
      </w:pPr>
      <w:r w:rsidRPr="00FC56BB">
        <w:rPr>
          <w:sz w:val="18"/>
          <w:szCs w:val="18"/>
        </w:rPr>
        <w:t xml:space="preserve">Při přikládání pomůcky je třeba věnovat pozornost dvěma poloměsíčitým pelotám umístěným v oblasti mezi </w:t>
      </w:r>
      <w:proofErr w:type="spellStart"/>
      <w:r w:rsidRPr="00FC56BB">
        <w:rPr>
          <w:sz w:val="18"/>
          <w:szCs w:val="18"/>
        </w:rPr>
        <w:t>achil</w:t>
      </w:r>
      <w:r w:rsidR="00671357">
        <w:rPr>
          <w:sz w:val="18"/>
          <w:szCs w:val="18"/>
        </w:rPr>
        <w:t>lovou</w:t>
      </w:r>
      <w:proofErr w:type="spellEnd"/>
      <w:r w:rsidR="00671357">
        <w:rPr>
          <w:sz w:val="18"/>
          <w:szCs w:val="18"/>
        </w:rPr>
        <w:t xml:space="preserve"> šlachou a vnitřním resp. </w:t>
      </w:r>
      <w:r w:rsidRPr="00FC56BB">
        <w:rPr>
          <w:sz w:val="18"/>
          <w:szCs w:val="18"/>
        </w:rPr>
        <w:t>zevním kotníkem.</w:t>
      </w:r>
    </w:p>
    <w:p w:rsidR="00173B6F" w:rsidRPr="00FC56BB" w:rsidRDefault="00FC56BB" w:rsidP="00FC56BB">
      <w:pPr>
        <w:pStyle w:val="Bezmezer"/>
        <w:rPr>
          <w:sz w:val="18"/>
          <w:szCs w:val="18"/>
        </w:rPr>
      </w:pPr>
      <w:r w:rsidRPr="00FC56BB">
        <w:rPr>
          <w:sz w:val="18"/>
          <w:szCs w:val="18"/>
        </w:rPr>
        <w:t>Pro přídatné odlehč</w:t>
      </w:r>
      <w:r w:rsidR="00173B6F" w:rsidRPr="00FC56BB">
        <w:rPr>
          <w:sz w:val="18"/>
          <w:szCs w:val="18"/>
        </w:rPr>
        <w:t xml:space="preserve">ení </w:t>
      </w:r>
      <w:proofErr w:type="spellStart"/>
      <w:r w:rsidR="00173B6F" w:rsidRPr="00FC56BB">
        <w:rPr>
          <w:sz w:val="18"/>
          <w:szCs w:val="18"/>
        </w:rPr>
        <w:t>achillovy</w:t>
      </w:r>
      <w:proofErr w:type="spellEnd"/>
      <w:r w:rsidR="00173B6F" w:rsidRPr="00FC56BB">
        <w:rPr>
          <w:sz w:val="18"/>
          <w:szCs w:val="18"/>
        </w:rPr>
        <w:t xml:space="preserve"> šlachy</w:t>
      </w:r>
      <w:r w:rsidRPr="00FC56BB">
        <w:rPr>
          <w:sz w:val="18"/>
          <w:szCs w:val="18"/>
        </w:rPr>
        <w:t xml:space="preserve"> by měla být do obuvi  vložena jedna přiložená podpatěnka. Druhou podpatěnku pak vložte do obuvi na nepostižené straně kvůli vyrovnání délkového rozdílu dolních končetin.</w:t>
      </w:r>
    </w:p>
    <w:p w:rsidR="00FC56BB" w:rsidRDefault="00FC56BB" w:rsidP="00FC56BB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 xml:space="preserve">Indikace: </w:t>
      </w:r>
      <w:r w:rsidRPr="00B750D4">
        <w:rPr>
          <w:b/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>Chronické nebo post</w:t>
      </w:r>
      <w:r w:rsidRPr="00B750D4">
        <w:rPr>
          <w:color w:val="000000" w:themeColor="text1"/>
          <w:sz w:val="18"/>
          <w:szCs w:val="18"/>
        </w:rPr>
        <w:t>traumatické dráždění nebo citlivost v oblasti Achillovy šlachy</w:t>
      </w:r>
      <w:r>
        <w:rPr>
          <w:color w:val="000000" w:themeColor="text1"/>
          <w:sz w:val="18"/>
          <w:szCs w:val="18"/>
        </w:rPr>
        <w:t xml:space="preserve">, </w:t>
      </w:r>
      <w:proofErr w:type="spellStart"/>
      <w:r w:rsidRPr="00B750D4">
        <w:rPr>
          <w:color w:val="000000" w:themeColor="text1"/>
          <w:sz w:val="18"/>
          <w:szCs w:val="18"/>
        </w:rPr>
        <w:t>Haglundova</w:t>
      </w:r>
      <w:proofErr w:type="spellEnd"/>
      <w:r w:rsidRPr="00B750D4">
        <w:rPr>
          <w:color w:val="000000" w:themeColor="text1"/>
          <w:sz w:val="18"/>
          <w:szCs w:val="18"/>
        </w:rPr>
        <w:t xml:space="preserve"> pata, </w:t>
      </w:r>
      <w:proofErr w:type="spellStart"/>
      <w:r w:rsidRPr="00B750D4">
        <w:rPr>
          <w:color w:val="000000" w:themeColor="text1"/>
          <w:sz w:val="18"/>
          <w:szCs w:val="18"/>
        </w:rPr>
        <w:t>achillodynie</w:t>
      </w:r>
      <w:proofErr w:type="spellEnd"/>
      <w:r w:rsidRPr="00B750D4">
        <w:rPr>
          <w:color w:val="000000" w:themeColor="text1"/>
          <w:sz w:val="18"/>
          <w:szCs w:val="18"/>
        </w:rPr>
        <w:t xml:space="preserve">, podráždění a bolest Achillovy šlachy a okolních oblastí, po operaci, například v případech ruptury Achillovy šlachy, bursitis </w:t>
      </w:r>
      <w:proofErr w:type="spellStart"/>
      <w:r w:rsidRPr="00B750D4">
        <w:rPr>
          <w:color w:val="000000" w:themeColor="text1"/>
          <w:sz w:val="18"/>
          <w:szCs w:val="18"/>
        </w:rPr>
        <w:t>subachillea</w:t>
      </w:r>
      <w:proofErr w:type="spellEnd"/>
      <w:r w:rsidRPr="00B750D4">
        <w:rPr>
          <w:color w:val="000000" w:themeColor="text1"/>
          <w:sz w:val="18"/>
          <w:szCs w:val="18"/>
        </w:rPr>
        <w:t>.</w:t>
      </w:r>
      <w:r w:rsidRPr="00B750D4">
        <w:rPr>
          <w:color w:val="000000" w:themeColor="text1"/>
          <w:sz w:val="18"/>
          <w:szCs w:val="18"/>
        </w:rPr>
        <w:br/>
      </w:r>
    </w:p>
    <w:p w:rsidR="00FC56BB" w:rsidRPr="00B750D4" w:rsidRDefault="00FC56BB" w:rsidP="00FC56BB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Kontraindikace:</w:t>
      </w:r>
    </w:p>
    <w:p w:rsidR="00FC56BB" w:rsidRPr="00B750D4" w:rsidRDefault="00FC56BB" w:rsidP="00FC56BB">
      <w:pPr>
        <w:pStyle w:val="Bezmezer"/>
        <w:rPr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pStyle w:val="Bezmez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Periferní arteriální onemocnění (PA</w:t>
      </w:r>
      <w:r w:rsidRPr="00B750D4">
        <w:rPr>
          <w:color w:val="000000" w:themeColor="text1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br/>
      </w:r>
      <w:r w:rsidRPr="00B750D4">
        <w:rPr>
          <w:b/>
          <w:color w:val="000000" w:themeColor="text1"/>
          <w:sz w:val="18"/>
          <w:szCs w:val="18"/>
        </w:rPr>
        <w:t>Složení:</w:t>
      </w:r>
      <w:r w:rsidRPr="00B750D4">
        <w:rPr>
          <w:b/>
          <w:color w:val="000000" w:themeColor="text1"/>
          <w:sz w:val="18"/>
          <w:szCs w:val="18"/>
        </w:rPr>
        <w:br/>
      </w:r>
      <w:r w:rsidRPr="00B750D4">
        <w:rPr>
          <w:color w:val="000000" w:themeColor="text1"/>
          <w:sz w:val="18"/>
          <w:szCs w:val="18"/>
        </w:rPr>
        <w:t xml:space="preserve">57% polyamid, 28% </w:t>
      </w:r>
      <w:proofErr w:type="spellStart"/>
      <w:r w:rsidRPr="00B750D4">
        <w:rPr>
          <w:color w:val="000000" w:themeColor="text1"/>
          <w:sz w:val="18"/>
          <w:szCs w:val="18"/>
        </w:rPr>
        <w:t>elastodies</w:t>
      </w:r>
      <w:proofErr w:type="spellEnd"/>
      <w:r w:rsidRPr="00B750D4">
        <w:rPr>
          <w:color w:val="000000" w:themeColor="text1"/>
          <w:sz w:val="18"/>
          <w:szCs w:val="18"/>
        </w:rPr>
        <w:t xml:space="preserve">, 8% </w:t>
      </w:r>
      <w:proofErr w:type="spellStart"/>
      <w:r w:rsidRPr="00B750D4">
        <w:rPr>
          <w:color w:val="000000" w:themeColor="text1"/>
          <w:sz w:val="18"/>
          <w:szCs w:val="18"/>
        </w:rPr>
        <w:t>spandex</w:t>
      </w:r>
      <w:proofErr w:type="spellEnd"/>
      <w:r w:rsidRPr="00B750D4">
        <w:rPr>
          <w:color w:val="000000" w:themeColor="text1"/>
          <w:sz w:val="18"/>
          <w:szCs w:val="18"/>
        </w:rPr>
        <w:t>, 7% viskóza</w:t>
      </w:r>
      <w:r w:rsidRPr="00B750D4">
        <w:rPr>
          <w:color w:val="000000" w:themeColor="text1"/>
          <w:sz w:val="18"/>
          <w:szCs w:val="18"/>
        </w:rPr>
        <w:br/>
      </w:r>
      <w:r w:rsidRPr="00B750D4">
        <w:rPr>
          <w:b/>
          <w:color w:val="000000" w:themeColor="text1"/>
          <w:sz w:val="18"/>
          <w:szCs w:val="18"/>
        </w:rPr>
        <w:t xml:space="preserve"> </w:t>
      </w:r>
      <w:r w:rsidRPr="00B750D4">
        <w:rPr>
          <w:color w:val="000000" w:themeColor="text1"/>
          <w:sz w:val="18"/>
          <w:szCs w:val="18"/>
        </w:rPr>
        <w:t xml:space="preserve">  </w:t>
      </w:r>
    </w:p>
    <w:p w:rsidR="00FC56BB" w:rsidRPr="00B750D4" w:rsidRDefault="00FC56BB" w:rsidP="00FC56BB">
      <w:pPr>
        <w:pStyle w:val="Bezmezer"/>
        <w:rPr>
          <w:rFonts w:ascii="UniversLTStd-LightCn" w:hAnsi="UniversLTStd-LightCn" w:cs="UniversLTStd-LightCn"/>
          <w:i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Důležité upozornění :</w:t>
      </w:r>
    </w:p>
    <w:p w:rsidR="00FC56BB" w:rsidRPr="00B750D4" w:rsidRDefault="00FC56BB" w:rsidP="00FC56BB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 xml:space="preserve">Není určeno k opakovanému použití - tento zdravotnický prostředek je určen k léčbě pouze jednoho pacienta. V případě, že lékař určí používat </w:t>
      </w:r>
      <w:r>
        <w:rPr>
          <w:color w:val="000000" w:themeColor="text1"/>
          <w:sz w:val="18"/>
          <w:szCs w:val="18"/>
        </w:rPr>
        <w:t>pomůcku</w:t>
      </w:r>
      <w:r w:rsidRPr="00B750D4">
        <w:rPr>
          <w:color w:val="000000" w:themeColor="text1"/>
          <w:sz w:val="18"/>
          <w:szCs w:val="18"/>
        </w:rPr>
        <w:t xml:space="preserve"> v noci, vyhněte se zaškrcení krevního oběhu. V případě necitlivosti uvolněte ortézu a sejměte ji, je-li to nezbytné.Pokud obtíže pokračují, kontaktujte lékaře. Při nošení pomůcky nepoužívejte  krémy nebo masti. Mohou  poškodit materiál.</w:t>
      </w:r>
      <w:r w:rsidRPr="00B750D4">
        <w:rPr>
          <w:color w:val="000000" w:themeColor="text1"/>
          <w:sz w:val="18"/>
          <w:szCs w:val="18"/>
        </w:rPr>
        <w:br/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Výrobek </w:t>
      </w:r>
      <w:r w:rsidRPr="00B750D4">
        <w:rPr>
          <w:color w:val="000000" w:themeColor="text1"/>
          <w:sz w:val="18"/>
          <w:szCs w:val="18"/>
        </w:rPr>
        <w:t>obsahuje latex a může  vyvolat alergickou reakci.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Velikosti</w:t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  <w:t xml:space="preserve">           obvod </w:t>
      </w:r>
      <w:proofErr w:type="spellStart"/>
      <w:r w:rsidRPr="00B750D4">
        <w:rPr>
          <w:color w:val="000000" w:themeColor="text1"/>
          <w:sz w:val="18"/>
          <w:szCs w:val="18"/>
        </w:rPr>
        <w:t>hlezna</w:t>
      </w:r>
      <w:proofErr w:type="spellEnd"/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small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>do 21 cm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medium</w:t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 xml:space="preserve">                 21 - 23cm</w:t>
      </w:r>
      <w:r w:rsidRPr="00B750D4">
        <w:rPr>
          <w:rFonts w:cstheme="minorHAnsi"/>
          <w:color w:val="000000" w:themeColor="text1"/>
          <w:sz w:val="18"/>
          <w:szCs w:val="18"/>
        </w:rPr>
        <w:tab/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>23-25 cm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>x-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>25-27 cm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FC56BB" w:rsidRPr="00B750D4" w:rsidRDefault="00FC56BB" w:rsidP="00FC56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pStyle w:val="Bezmezer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Praní:</w:t>
      </w:r>
    </w:p>
    <w:p w:rsidR="00FC56BB" w:rsidRPr="00B750D4" w:rsidRDefault="00FC56BB" w:rsidP="00FC56BB">
      <w:pPr>
        <w:pStyle w:val="Bezmezer"/>
        <w:rPr>
          <w:rFonts w:cs="Calibri"/>
          <w:color w:val="000000" w:themeColor="text1"/>
          <w:sz w:val="18"/>
          <w:szCs w:val="18"/>
        </w:rPr>
      </w:pPr>
      <w:r w:rsidRPr="00B750D4">
        <w:rPr>
          <w:rFonts w:cs="Calibri"/>
          <w:color w:val="000000" w:themeColor="text1"/>
          <w:sz w:val="18"/>
          <w:szCs w:val="18"/>
        </w:rPr>
        <w:t xml:space="preserve">Perte ručně v teplé vodě s mírným detergentem.Nepoužívejte změkčovače látky.  Urovnejte rukou a sušte na vzduchu, nepoužívejte tepelné zdroje </w:t>
      </w:r>
    </w:p>
    <w:p w:rsidR="00FC56BB" w:rsidRPr="00B750D4" w:rsidRDefault="00FC56BB" w:rsidP="00FC56BB">
      <w:pPr>
        <w:pStyle w:val="Bezmezer"/>
        <w:rPr>
          <w:rFonts w:cs="Calibri"/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0"/>
          <w:szCs w:val="10"/>
        </w:rPr>
      </w:pP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Výrobce: BORT </w:t>
      </w:r>
      <w:proofErr w:type="spellStart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GmbH</w:t>
      </w:r>
      <w:proofErr w:type="spellEnd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750D4">
        <w:rPr>
          <w:rFonts w:ascii="Univers-CondensedLight" w:hAnsi="Univers-CondensedLight" w:cs="Univers-CondensedLight"/>
          <w:b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Dovozce :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DVORT spol. s r.o.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distribuce 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Nerudova 8 252 19 Rudná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www.dvort.cz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e-mail distribuce@dvort.cz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FC56BB" w:rsidRDefault="00FC56BB" w:rsidP="00FC56BB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C56BB" w:rsidRPr="00FC56BB" w:rsidRDefault="00FC56BB" w:rsidP="00FC56BB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FC56BB">
        <w:rPr>
          <w:rFonts w:asciiTheme="minorHAnsi" w:hAnsiTheme="minorHAnsi" w:cstheme="minorHAnsi"/>
          <w:sz w:val="18"/>
          <w:szCs w:val="18"/>
        </w:rPr>
        <w:t xml:space="preserve">D054900/D-11/15 </w:t>
      </w:r>
      <w:proofErr w:type="spellStart"/>
      <w:r w:rsidRPr="00FC56BB">
        <w:rPr>
          <w:rFonts w:asciiTheme="minorHAnsi" w:hAnsiTheme="minorHAnsi" w:cstheme="minorHAnsi"/>
          <w:sz w:val="18"/>
          <w:szCs w:val="18"/>
        </w:rPr>
        <w:t>Stand</w:t>
      </w:r>
      <w:proofErr w:type="spellEnd"/>
      <w:r w:rsidRPr="00FC56BB">
        <w:rPr>
          <w:rFonts w:asciiTheme="minorHAnsi" w:hAnsiTheme="minorHAnsi" w:cstheme="minorHAnsi"/>
          <w:sz w:val="18"/>
          <w:szCs w:val="18"/>
        </w:rPr>
        <w:t xml:space="preserve">: </w:t>
      </w:r>
      <w:proofErr w:type="spellStart"/>
      <w:r w:rsidRPr="00FC56BB">
        <w:rPr>
          <w:rFonts w:asciiTheme="minorHAnsi" w:hAnsiTheme="minorHAnsi" w:cstheme="minorHAnsi"/>
          <w:sz w:val="18"/>
          <w:szCs w:val="18"/>
        </w:rPr>
        <w:t>November</w:t>
      </w:r>
      <w:proofErr w:type="spellEnd"/>
      <w:r w:rsidRPr="00FC56BB">
        <w:rPr>
          <w:rFonts w:asciiTheme="minorHAnsi" w:hAnsiTheme="minorHAnsi" w:cstheme="minorHAnsi"/>
          <w:sz w:val="18"/>
          <w:szCs w:val="18"/>
        </w:rPr>
        <w:t xml:space="preserve"> 2015</w:t>
      </w:r>
    </w:p>
    <w:p w:rsidR="00FC56BB" w:rsidRPr="00B750D4" w:rsidRDefault="00FC56BB" w:rsidP="00FC56BB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 Překlad a stav: 11/2015</w:t>
      </w:r>
    </w:p>
    <w:p w:rsidR="00FC56BB" w:rsidRPr="00B750D4" w:rsidRDefault="00FC56BB" w:rsidP="00FC56BB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FC56BB" w:rsidRPr="00FC56BB" w:rsidRDefault="00FC56BB" w:rsidP="00FC56BB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56BB" w:rsidRDefault="00FC56BB" w:rsidP="00173B6F">
      <w:pPr>
        <w:rPr>
          <w:rFonts w:cstheme="minorHAnsi"/>
          <w:sz w:val="20"/>
          <w:szCs w:val="20"/>
        </w:rPr>
      </w:pPr>
    </w:p>
    <w:p w:rsidR="00FC56BB" w:rsidRPr="00173B6F" w:rsidRDefault="00FC56BB" w:rsidP="00173B6F">
      <w:pPr>
        <w:rPr>
          <w:rFonts w:cstheme="minorHAnsi"/>
          <w:sz w:val="20"/>
          <w:szCs w:val="20"/>
        </w:rPr>
      </w:pPr>
    </w:p>
    <w:p w:rsidR="00173B6F" w:rsidRDefault="00173B6F" w:rsidP="00173B6F"/>
    <w:sectPr w:rsidR="00173B6F" w:rsidSect="00A3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LTStd-Light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oTech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Condensed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B6F"/>
    <w:rsid w:val="00007F43"/>
    <w:rsid w:val="00173B6F"/>
    <w:rsid w:val="0048253B"/>
    <w:rsid w:val="00671357"/>
    <w:rsid w:val="009366E9"/>
    <w:rsid w:val="00A33F8F"/>
    <w:rsid w:val="00C1230E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C56B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2016-11-30T15:36:00Z</dcterms:created>
  <dcterms:modified xsi:type="dcterms:W3CDTF">2016-12-08T13:20:00Z</dcterms:modified>
</cp:coreProperties>
</file>